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left="1" w:hanging="3"/>
        <w:jc w:val="center"/>
        <w:rPr>
          <w:b w:val="1"/>
          <w:color w:val="2481e9"/>
        </w:rPr>
      </w:pPr>
      <w:r w:rsidDel="00000000" w:rsidR="00000000" w:rsidRPr="00000000">
        <w:rPr>
          <w:b w:val="1"/>
          <w:color w:val="2481e9"/>
          <w:rtl w:val="0"/>
        </w:rPr>
        <w:t xml:space="preserve">Kritéria pro přijímání dětí do MŠ zřizovaných MČ Praha 5 pro školní rok 2025/2026</w:t>
      </w:r>
    </w:p>
    <w:p w:rsidR="00000000" w:rsidDel="00000000" w:rsidP="00000000" w:rsidRDefault="00000000" w:rsidRPr="00000000" w14:paraId="00000002">
      <w:pPr>
        <w:spacing w:after="280" w:before="280" w:lineRule="auto"/>
        <w:ind w:hanging="2"/>
        <w:jc w:val="both"/>
        <w:rPr/>
      </w:pPr>
      <w:r w:rsidDel="00000000" w:rsidR="00000000" w:rsidRPr="00000000">
        <w:rPr>
          <w:rtl w:val="0"/>
        </w:rPr>
        <w:t xml:space="preserve">Do mateřské školy budou přijímány přednostně děti narozené do 31. 8. 2022, a to podle věku od nejstaršího. Děti mladší budou přijímány v případě volné kapacity v mateřských školách, které mají zajištěné podmínky pro vzdělávání mladších dětí.</w:t>
      </w:r>
    </w:p>
    <w:p w:rsidR="00000000" w:rsidDel="00000000" w:rsidP="00000000" w:rsidRDefault="00000000" w:rsidRPr="00000000" w14:paraId="00000003">
      <w:pPr>
        <w:pStyle w:val="Heading1"/>
        <w:ind w:left="1" w:hanging="3"/>
        <w:jc w:val="center"/>
        <w:rPr>
          <w:b w:val="1"/>
          <w:color w:val="2481e9"/>
        </w:rPr>
      </w:pPr>
      <w:r w:rsidDel="00000000" w:rsidR="00000000" w:rsidRPr="00000000">
        <w:rPr>
          <w:b w:val="1"/>
          <w:color w:val="2481e9"/>
          <w:rtl w:val="0"/>
        </w:rPr>
        <w:t xml:space="preserve">Kritéria - bodový systém</w:t>
      </w:r>
    </w:p>
    <w:p w:rsidR="00000000" w:rsidDel="00000000" w:rsidP="00000000" w:rsidRDefault="00000000" w:rsidRPr="00000000" w14:paraId="00000004">
      <w:pPr>
        <w:spacing w:after="280" w:before="280" w:lineRule="auto"/>
        <w:ind w:hanging="2"/>
        <w:jc w:val="both"/>
        <w:rPr>
          <w:b w:val="1"/>
        </w:rPr>
      </w:pPr>
      <w:r w:rsidDel="00000000" w:rsidR="00000000" w:rsidRPr="00000000">
        <w:rPr>
          <w:b w:val="1"/>
          <w:rtl w:val="0"/>
        </w:rPr>
        <w:t xml:space="preserve">Kritéria pro přijímání dětí do MŠ se snaží o předcházení diskriminaci a rovněž zohledňují koncepci školské politiky městské části Praha 5.</w:t>
      </w:r>
    </w:p>
    <w:p w:rsidR="00000000" w:rsidDel="00000000" w:rsidP="00000000" w:rsidRDefault="00000000" w:rsidRPr="00000000" w14:paraId="00000005">
      <w:pPr>
        <w:spacing w:after="280" w:before="280" w:lineRule="auto"/>
        <w:ind w:left="1" w:hanging="3"/>
        <w:jc w:val="both"/>
        <w:rPr>
          <w:b w:val="1"/>
          <w:color w:val="2481e9"/>
          <w:sz w:val="28"/>
          <w:szCs w:val="28"/>
        </w:rPr>
      </w:pPr>
      <w:r w:rsidDel="00000000" w:rsidR="00000000" w:rsidRPr="00000000">
        <w:rPr>
          <w:b w:val="1"/>
          <w:color w:val="2481e9"/>
          <w:sz w:val="28"/>
          <w:szCs w:val="28"/>
          <w:rtl w:val="0"/>
        </w:rPr>
        <w:t xml:space="preserve">1. Věková skupina (počítáno k 31. 8. 2025)</w:t>
      </w:r>
    </w:p>
    <w:p w:rsidR="00000000" w:rsidDel="00000000" w:rsidP="00000000" w:rsidRDefault="00000000" w:rsidRPr="00000000" w14:paraId="00000006">
      <w:pPr>
        <w:numPr>
          <w:ilvl w:val="0"/>
          <w:numId w:val="2"/>
        </w:numPr>
        <w:spacing w:before="280" w:lineRule="auto"/>
        <w:ind w:hanging="2"/>
        <w:jc w:val="both"/>
      </w:pPr>
      <w:r w:rsidDel="00000000" w:rsidR="00000000" w:rsidRPr="00000000">
        <w:rPr>
          <w:rtl w:val="0"/>
        </w:rPr>
        <w:t xml:space="preserve">děti narozené do 31. 8. 2019 a dříve</w:t>
      </w:r>
    </w:p>
    <w:p w:rsidR="00000000" w:rsidDel="00000000" w:rsidP="00000000" w:rsidRDefault="00000000" w:rsidRPr="00000000" w14:paraId="00000007">
      <w:pPr>
        <w:numPr>
          <w:ilvl w:val="0"/>
          <w:numId w:val="2"/>
        </w:numPr>
        <w:ind w:hanging="2"/>
        <w:jc w:val="both"/>
      </w:pPr>
      <w:r w:rsidDel="00000000" w:rsidR="00000000" w:rsidRPr="00000000">
        <w:rPr>
          <w:rtl w:val="0"/>
        </w:rPr>
        <w:t xml:space="preserve">děti narozené do 31. 8. 2020</w:t>
      </w:r>
    </w:p>
    <w:p w:rsidR="00000000" w:rsidDel="00000000" w:rsidP="00000000" w:rsidRDefault="00000000" w:rsidRPr="00000000" w14:paraId="00000008">
      <w:pPr>
        <w:numPr>
          <w:ilvl w:val="0"/>
          <w:numId w:val="2"/>
        </w:numPr>
        <w:ind w:hanging="2"/>
        <w:jc w:val="both"/>
      </w:pPr>
      <w:r w:rsidDel="00000000" w:rsidR="00000000" w:rsidRPr="00000000">
        <w:rPr>
          <w:rtl w:val="0"/>
        </w:rPr>
        <w:t xml:space="preserve">děti narozené do 31. 8. 2021</w:t>
      </w:r>
    </w:p>
    <w:p w:rsidR="00000000" w:rsidDel="00000000" w:rsidP="00000000" w:rsidRDefault="00000000" w:rsidRPr="00000000" w14:paraId="00000009">
      <w:pPr>
        <w:numPr>
          <w:ilvl w:val="0"/>
          <w:numId w:val="2"/>
        </w:numPr>
        <w:spacing w:after="280" w:lineRule="auto"/>
        <w:ind w:hanging="2"/>
        <w:jc w:val="both"/>
      </w:pPr>
      <w:r w:rsidDel="00000000" w:rsidR="00000000" w:rsidRPr="00000000">
        <w:rPr>
          <w:rtl w:val="0"/>
        </w:rPr>
        <w:t xml:space="preserve">děti narozené do 31. 8. 2022                              </w:t>
      </w:r>
    </w:p>
    <w:p w:rsidR="00000000" w:rsidDel="00000000" w:rsidP="00000000" w:rsidRDefault="00000000" w:rsidRPr="00000000" w14:paraId="0000000A">
      <w:pPr>
        <w:spacing w:after="280" w:before="280" w:lineRule="auto"/>
        <w:ind w:left="1" w:hanging="3"/>
        <w:jc w:val="both"/>
        <w:rPr>
          <w:b w:val="1"/>
          <w:color w:val="2481e9"/>
          <w:sz w:val="28"/>
          <w:szCs w:val="28"/>
        </w:rPr>
      </w:pPr>
      <w:r w:rsidDel="00000000" w:rsidR="00000000" w:rsidRPr="00000000">
        <w:rPr>
          <w:b w:val="1"/>
          <w:color w:val="2481e9"/>
          <w:sz w:val="28"/>
          <w:szCs w:val="28"/>
          <w:rtl w:val="0"/>
        </w:rPr>
        <w:t xml:space="preserve">2. Trvalý pobyt dítěte</w:t>
      </w:r>
    </w:p>
    <w:p w:rsidR="00000000" w:rsidDel="00000000" w:rsidP="00000000" w:rsidRDefault="00000000" w:rsidRPr="00000000" w14:paraId="0000000B">
      <w:pPr>
        <w:numPr>
          <w:ilvl w:val="0"/>
          <w:numId w:val="1"/>
        </w:numPr>
        <w:spacing w:before="280" w:lineRule="auto"/>
        <w:ind w:hanging="2"/>
        <w:jc w:val="both"/>
      </w:pPr>
      <w:r w:rsidDel="00000000" w:rsidR="00000000" w:rsidRPr="00000000">
        <w:rPr>
          <w:rtl w:val="0"/>
        </w:rPr>
        <w:t xml:space="preserve">spádový obvod MŠ                    </w:t>
      </w:r>
    </w:p>
    <w:p w:rsidR="00000000" w:rsidDel="00000000" w:rsidP="00000000" w:rsidRDefault="00000000" w:rsidRPr="00000000" w14:paraId="0000000C">
      <w:pPr>
        <w:numPr>
          <w:ilvl w:val="0"/>
          <w:numId w:val="1"/>
        </w:numPr>
        <w:spacing w:after="280" w:lineRule="auto"/>
        <w:ind w:hanging="2"/>
        <w:jc w:val="both"/>
      </w:pPr>
      <w:r w:rsidDel="00000000" w:rsidR="00000000" w:rsidRPr="00000000">
        <w:rPr>
          <w:rtl w:val="0"/>
        </w:rPr>
        <w:t xml:space="preserve">mimo území MČ Prahy 5                                </w:t>
      </w:r>
    </w:p>
    <w:p w:rsidR="00000000" w:rsidDel="00000000" w:rsidP="00000000" w:rsidRDefault="00000000" w:rsidRPr="00000000" w14:paraId="0000000D">
      <w:pPr>
        <w:spacing w:after="280" w:before="280" w:lineRule="auto"/>
        <w:ind w:hanging="2"/>
        <w:jc w:val="both"/>
        <w:rPr/>
      </w:pPr>
      <w:r w:rsidDel="00000000" w:rsidR="00000000" w:rsidRPr="00000000">
        <w:rPr>
          <w:rtl w:val="0"/>
        </w:rPr>
        <w:t xml:space="preserve"> V případě, že na posledním místě pro přijetí dítěte budou děti se stejným datem narození, rozhodne o přijetí losování za přítomnosti ředitele/ky školy, zástupce spolku rodičů (pokud na škole organizace působí) a zástupce zřizovatele.</w:t>
      </w:r>
    </w:p>
    <w:p w:rsidR="00000000" w:rsidDel="00000000" w:rsidP="00000000" w:rsidRDefault="00000000" w:rsidRPr="00000000" w14:paraId="0000000E">
      <w:pPr>
        <w:spacing w:after="280" w:before="280" w:lineRule="auto"/>
        <w:ind w:hanging="2"/>
        <w:jc w:val="both"/>
        <w:rPr/>
      </w:pPr>
      <w:r w:rsidDel="00000000" w:rsidR="00000000" w:rsidRPr="00000000">
        <w:rPr>
          <w:rtl w:val="0"/>
        </w:rPr>
        <w:t xml:space="preserve">O pořadí dítěte do MŠ nerozhoduje pořadí podané žádosti.</w:t>
      </w:r>
    </w:p>
    <w:p w:rsidR="00000000" w:rsidDel="00000000" w:rsidP="00000000" w:rsidRDefault="00000000" w:rsidRPr="00000000" w14:paraId="0000000F">
      <w:pPr>
        <w:spacing w:after="280" w:before="280" w:lineRule="auto"/>
        <w:ind w:hanging="2"/>
        <w:jc w:val="both"/>
        <w:rPr>
          <w:u w:val="single"/>
        </w:rPr>
      </w:pPr>
      <w:r w:rsidDel="00000000" w:rsidR="00000000" w:rsidRPr="00000000">
        <w:rPr>
          <w:u w:val="single"/>
          <w:rtl w:val="0"/>
        </w:rPr>
        <w:t xml:space="preserve">Trvalý pobyt dítěte</w:t>
      </w:r>
      <w:r w:rsidDel="00000000" w:rsidR="00000000" w:rsidRPr="00000000">
        <w:rPr>
          <w:rtl w:val="0"/>
        </w:rPr>
        <w:tab/>
      </w:r>
      <w:r w:rsidDel="00000000" w:rsidR="00000000" w:rsidRPr="00000000">
        <w:rPr>
          <w:u w:val="single"/>
          <w:rtl w:val="0"/>
        </w:rPr>
        <w:br w:type="textWrapping"/>
      </w:r>
      <w:r w:rsidDel="00000000" w:rsidR="00000000" w:rsidRPr="00000000">
        <w:rPr>
          <w:rtl w:val="0"/>
        </w:rPr>
        <w:t xml:space="preserve">Trvalý pobyt dítěte bude ověřen pracovníky odboru školství ÚMČ Praha 5 se souhlasem zákonných zástupců dítěte (souhlas je nedílnou součástí žádosti).  </w:t>
        <w:br w:type="textWrapping"/>
        <w:t xml:space="preserve">V případě cizinců je trvalý pobyt místem pobytu, který je nutno doložit oprávněním k pobytu na území ČR. </w:t>
      </w:r>
      <w:r w:rsidDel="00000000" w:rsidR="00000000" w:rsidRPr="00000000">
        <w:rPr>
          <w:rtl w:val="0"/>
        </w:rPr>
      </w:r>
    </w:p>
    <w:p w:rsidR="00000000" w:rsidDel="00000000" w:rsidP="00000000" w:rsidRDefault="00000000" w:rsidRPr="00000000" w14:paraId="00000010">
      <w:pPr>
        <w:spacing w:after="280" w:before="280" w:lineRule="auto"/>
        <w:ind w:hanging="2"/>
        <w:jc w:val="both"/>
        <w:rPr/>
      </w:pPr>
      <w:r w:rsidDel="00000000" w:rsidR="00000000" w:rsidRPr="00000000">
        <w:rPr>
          <w:u w:val="single"/>
          <w:rtl w:val="0"/>
        </w:rPr>
        <w:t xml:space="preserve">Závažná individuální situace dítěte</w:t>
      </w:r>
      <w:r w:rsidDel="00000000" w:rsidR="00000000" w:rsidRPr="00000000">
        <w:rPr>
          <w:rtl w:val="0"/>
        </w:rPr>
        <w:t xml:space="preserve"> </w:t>
        <w:tab/>
        <w:br w:type="textWrapping"/>
        <w:t xml:space="preserve">Závažná individuální situace dítěte, kterou zákonný zástupce prokáže řediteli MŠ. Situaci dítěte posoudí ředitel MŠ v rámci správního řízení.</w:t>
      </w:r>
    </w:p>
    <w:p w:rsidR="00000000" w:rsidDel="00000000" w:rsidP="00000000" w:rsidRDefault="00000000" w:rsidRPr="00000000" w14:paraId="00000011">
      <w:pPr>
        <w:spacing w:after="280" w:before="280" w:lineRule="auto"/>
        <w:ind w:hanging="2"/>
        <w:jc w:val="both"/>
        <w:rPr/>
      </w:pPr>
      <w:r w:rsidDel="00000000" w:rsidR="00000000" w:rsidRPr="00000000">
        <w:rPr>
          <w:rtl w:val="0"/>
        </w:rPr>
        <w:t xml:space="preserve"> Tato kritéria slouží ke stanovení pořadí přijetí dětí do mateřských škol pro školní rok 2025/2026.</w:t>
      </w:r>
    </w:p>
    <w:p w:rsidR="00000000" w:rsidDel="00000000" w:rsidP="00000000" w:rsidRDefault="00000000" w:rsidRPr="00000000" w14:paraId="00000012">
      <w:pPr>
        <w:spacing w:after="280" w:before="280" w:lineRule="auto"/>
        <w:ind w:hanging="2"/>
        <w:jc w:val="both"/>
        <w:rPr/>
      </w:pPr>
      <w:r w:rsidDel="00000000" w:rsidR="00000000" w:rsidRPr="00000000">
        <w:rPr>
          <w:rtl w:val="0"/>
        </w:rPr>
        <w:t xml:space="preserve">Skutečnosti uvedené v žádosti je třeba doložit.</w:t>
      </w:r>
    </w:p>
    <w:p w:rsidR="00000000" w:rsidDel="00000000" w:rsidP="00000000" w:rsidRDefault="00000000" w:rsidRPr="00000000" w14:paraId="00000013">
      <w:pPr>
        <w:spacing w:after="280" w:before="280" w:lineRule="auto"/>
        <w:ind w:hanging="2"/>
        <w:jc w:val="both"/>
        <w:rPr/>
      </w:pPr>
      <w:r w:rsidDel="00000000" w:rsidR="00000000" w:rsidRPr="00000000">
        <w:rPr>
          <w:rtl w:val="0"/>
        </w:rPr>
        <w:t xml:space="preserve">Od počátku školního roku, který následuje po dni, kdy dítě dosáhne pátého roku věku, do zahájení povinné školní docházky dítěte, je předškolní vzdělávání povinné.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 Povinné předškolní vzdělávání se nevztahuje na děti s hlubokým mentálním postižením.</w:t>
      </w:r>
    </w:p>
    <w:p w:rsidR="00000000" w:rsidDel="00000000" w:rsidP="00000000" w:rsidRDefault="00000000" w:rsidRPr="00000000" w14:paraId="00000014">
      <w:pPr>
        <w:spacing w:after="280" w:before="280" w:lineRule="auto"/>
        <w:ind w:hanging="2"/>
        <w:jc w:val="both"/>
        <w:rPr/>
      </w:pPr>
      <w:r w:rsidDel="00000000" w:rsidR="00000000" w:rsidRPr="00000000">
        <w:rPr>
          <w:rtl w:val="0"/>
        </w:rPr>
        <w:t xml:space="preserve">Přijmout k předškolnímu vzdělávání lze v souladu s ustanovením § 34 odst. 5 zákona č. 561/2004 Sb., o předškolním, základním, středním, vyšším odborném a jiném vzdělávání (školský zákon), ve znění pozdějších předpisů (dále jen „školský zákon") a ustanovením § 50 zákona č. 258/2000 Sb., o ochraně veřejného zdraví a o změně některých souvisejících zákonů, ve znění pozdějších předpisů, pouze dítě, které se podrobilo stanoveným pravidelným očkováním, má doklad, že je proti nákaze imunní nebo se nemůže očkování podrobit pro kontraindikaci (mimo dětí, které zahájí povinné předškolní vzdělávání). </w:t>
      </w:r>
    </w:p>
    <w:p w:rsidR="00000000" w:rsidDel="00000000" w:rsidP="00000000" w:rsidRDefault="00000000" w:rsidRPr="00000000" w14:paraId="00000015">
      <w:pPr>
        <w:spacing w:after="280" w:before="280" w:lineRule="auto"/>
        <w:ind w:hanging="2"/>
        <w:jc w:val="both"/>
        <w:rPr/>
      </w:pPr>
      <w:r w:rsidDel="00000000" w:rsidR="00000000" w:rsidRPr="00000000">
        <w:rPr>
          <w:rtl w:val="0"/>
        </w:rPr>
        <w:t xml:space="preserve">V souladu se školským zákonem rozhoduje o přijetí dítěte do mateřské školy a o případném stanovení zkušebního pobytu dítěte ředitel(ka) mateřské školy. V individuálních případech hodných zvláštního zřetele (např. závažná individuální situace dítěte) může ředitel(ka) mateřské školy rozhodnout o přijetí dítěte k předškolnímu vzdělávání bez ohledu na celkový počet bodů, které dítě v rámci zápisu na základě jednotlivých kritérií získalo. Za případ hodný zvláštního zřetele lze považovat nepříznivou sociální nebo zdravotní situaci rodiny, pěstounskou péči apod.</w:t>
      </w:r>
    </w:p>
    <w:p w:rsidR="00000000" w:rsidDel="00000000" w:rsidP="00000000" w:rsidRDefault="00000000" w:rsidRPr="00000000" w14:paraId="00000016">
      <w:pPr>
        <w:spacing w:after="280" w:before="280" w:lineRule="auto"/>
        <w:ind w:hanging="2"/>
        <w:jc w:val="both"/>
        <w:rPr/>
      </w:pPr>
      <w:r w:rsidDel="00000000" w:rsidR="00000000" w:rsidRPr="00000000">
        <w:rPr>
          <w:rtl w:val="0"/>
        </w:rPr>
        <w:t xml:space="preserve"> </w:t>
      </w:r>
    </w:p>
    <w:p w:rsidR="00000000" w:rsidDel="00000000" w:rsidP="00000000" w:rsidRDefault="00000000" w:rsidRPr="00000000" w14:paraId="00000017">
      <w:pPr>
        <w:spacing w:after="280" w:before="280" w:lineRule="auto"/>
        <w:ind w:hanging="2"/>
        <w:jc w:val="both"/>
        <w:rPr/>
      </w:pPr>
      <w:r w:rsidDel="00000000" w:rsidR="00000000" w:rsidRPr="00000000">
        <w:rPr>
          <w:rtl w:val="0"/>
        </w:rPr>
        <w:t xml:space="preserve">V Praze dne 5. 5. 2025</w:t>
      </w:r>
    </w:p>
    <w:p w:rsidR="00000000" w:rsidDel="00000000" w:rsidP="00000000" w:rsidRDefault="00000000" w:rsidRPr="00000000" w14:paraId="00000018">
      <w:pPr>
        <w:spacing w:after="280" w:before="280" w:lineRule="auto"/>
        <w:ind w:hanging="2"/>
        <w:jc w:val="both"/>
        <w:rPr/>
      </w:pPr>
      <w:r w:rsidDel="00000000" w:rsidR="00000000" w:rsidRPr="00000000">
        <w:rPr>
          <w:rtl w:val="0"/>
        </w:rPr>
      </w:r>
    </w:p>
    <w:p w:rsidR="00000000" w:rsidDel="00000000" w:rsidP="00000000" w:rsidRDefault="00000000" w:rsidRPr="00000000" w14:paraId="00000019">
      <w:pPr>
        <w:spacing w:after="280" w:before="280" w:lineRule="auto"/>
        <w:ind w:hanging="2"/>
        <w:jc w:val="right"/>
        <w:rPr/>
      </w:pPr>
      <w:r w:rsidDel="00000000" w:rsidR="00000000" w:rsidRPr="00000000">
        <w:rPr>
          <w:rtl w:val="0"/>
        </w:rPr>
        <w:t xml:space="preserve">Bc. Lenka Bohuslavová, DiS.</w:t>
        <w:br w:type="textWrapping"/>
        <w:t xml:space="preserve">ředitelka školy</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jc w:val="right"/>
        <w:rPr>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567" w:footer="1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1" w:hanging="3"/>
      <w:rPr>
        <w:rFonts w:ascii="Calibri" w:cs="Calibri" w:eastAsia="Calibri" w:hAnsi="Calibri"/>
        <w:color w:val="4c6709"/>
        <w:sz w:val="8"/>
        <w:szCs w:val="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7261225" cy="58420"/>
              <wp:effectExtent b="0" l="0" r="0" t="0"/>
              <wp:wrapNone/>
              <wp:docPr id="7" name=""/>
              <a:graphic>
                <a:graphicData uri="http://schemas.microsoft.com/office/word/2010/wordprocessingShape">
                  <wps:wsp>
                    <wps:cNvSpPr/>
                    <wps:cNvPr id="2" name="Shape 2"/>
                    <wps:spPr>
                      <a:xfrm>
                        <a:off x="1720150" y="3755553"/>
                        <a:ext cx="7251700" cy="48895"/>
                      </a:xfrm>
                      <a:prstGeom prst="rect">
                        <a:avLst/>
                      </a:prstGeom>
                      <a:gradFill>
                        <a:gsLst>
                          <a:gs pos="0">
                            <a:srgbClr val="2481E9"/>
                          </a:gs>
                          <a:gs pos="70000">
                            <a:srgbClr val="9B6BAD"/>
                          </a:gs>
                          <a:gs pos="100000">
                            <a:srgbClr val="9B6BAD"/>
                          </a:gs>
                        </a:gsLst>
                        <a:lin ang="2700000" scaled="0"/>
                      </a:gradFill>
                      <a:ln cap="flat" cmpd="sng" w="9525">
                        <a:solidFill>
                          <a:srgbClr val="F4F8F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7261225" cy="58420"/>
              <wp:effectExtent b="0" l="0" r="0" t="0"/>
              <wp:wrapNone/>
              <wp:docPr id="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61225" cy="58420"/>
                      </a:xfrm>
                      <a:prstGeom prst="rect"/>
                      <a:ln/>
                    </pic:spPr>
                  </pic:pic>
                </a:graphicData>
              </a:graphic>
            </wp:anchor>
          </w:drawing>
        </mc:Fallback>
      </mc:AlternateConten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rFonts w:ascii="Calibri" w:cs="Calibri" w:eastAsia="Calibri" w:hAnsi="Calibri"/>
        <w:color w:val="2481e9"/>
        <w:sz w:val="20"/>
        <w:szCs w:val="20"/>
      </w:rPr>
    </w:pPr>
    <w:r w:rsidDel="00000000" w:rsidR="00000000" w:rsidRPr="00000000">
      <w:rPr>
        <w:rFonts w:ascii="Calibri" w:cs="Calibri" w:eastAsia="Calibri" w:hAnsi="Calibri"/>
        <w:b w:val="1"/>
        <w:color w:val="9b6bad"/>
        <w:sz w:val="20"/>
        <w:szCs w:val="20"/>
        <w:rtl w:val="0"/>
      </w:rPr>
      <w:t xml:space="preserve">Mateřská škola, Praha 5 – Smíchov, Kroupova 2775, příspěvková organizace                        </w:t>
    </w:r>
    <w:r w:rsidDel="00000000" w:rsidR="00000000" w:rsidRPr="00000000">
      <w:rPr>
        <w:rFonts w:ascii="Calibri" w:cs="Calibri" w:eastAsia="Calibri" w:hAnsi="Calibri"/>
        <w:b w:val="1"/>
        <w:color w:val="2481e9"/>
        <w:sz w:val="20"/>
        <w:szCs w:val="20"/>
        <w:rtl w:val="0"/>
      </w:rPr>
      <w:br w:type="textWrapping"/>
    </w:r>
    <w:r w:rsidDel="00000000" w:rsidR="00000000" w:rsidRPr="00000000">
      <w:rPr>
        <w:rFonts w:ascii="Calibri" w:cs="Calibri" w:eastAsia="Calibri" w:hAnsi="Calibri"/>
        <w:color w:val="2481e9"/>
        <w:sz w:val="20"/>
        <w:szCs w:val="20"/>
        <w:rtl w:val="0"/>
      </w:rPr>
      <w:t xml:space="preserve">Kroupova 2775, </w:t>
      <w:tab/>
      <w:t xml:space="preserve">                                                                                                          Tel. 731 863 163</w:t>
      <w:br w:type="textWrapping"/>
      <w:t xml:space="preserve">150 00 Praha 5 – Smíchov</w:t>
      <w:tab/>
      <w:tab/>
      <w:t xml:space="preserve">E-mail: reditelka@mshlubocepy.cz</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right="-851" w:hanging="2"/>
      <w:rPr>
        <w:rFonts w:ascii="Calibri" w:cs="Calibri" w:eastAsia="Calibri" w:hAnsi="Calibri"/>
        <w:color w:val="61830b"/>
        <w:sz w:val="20"/>
        <w:szCs w:val="20"/>
      </w:rPr>
    </w:pPr>
    <w:r w:rsidDel="00000000" w:rsidR="00000000" w:rsidRPr="00000000">
      <w:rPr>
        <w:rFonts w:ascii="Calibri" w:cs="Calibri" w:eastAsia="Calibri" w:hAnsi="Calibri"/>
        <w:color w:val="2481e9"/>
        <w:sz w:val="20"/>
        <w:szCs w:val="20"/>
        <w:rtl w:val="0"/>
      </w:rPr>
      <w:tab/>
      <w:t xml:space="preserve">IČO: 70 10 77 85</w:t>
      <w:tab/>
    </w:r>
    <w:r w:rsidDel="00000000" w:rsidR="00000000" w:rsidRPr="00000000">
      <w:rPr>
        <w:rFonts w:ascii="Calibri" w:cs="Calibri" w:eastAsia="Calibri" w:hAnsi="Calibri"/>
        <w:color w:val="61830b"/>
        <w:sz w:val="20"/>
        <w:szCs w:val="20"/>
        <w:rtl w:val="0"/>
      </w:rPr>
      <w:tab/>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right="-851" w:hanging="2"/>
      <w:jc w:val="both"/>
      <w:rPr>
        <w:rFonts w:ascii="Calibri" w:cs="Calibri" w:eastAsia="Calibri" w:hAnsi="Calibri"/>
        <w:color w:val="61830b"/>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1" w:hanging="3"/>
      <w:jc w:val="center"/>
      <w:rPr>
        <w:rFonts w:ascii="Calibri" w:cs="Calibri" w:eastAsia="Calibri" w:hAnsi="Calibri"/>
        <w:b w:val="1"/>
        <w:color w:val="2481e9"/>
        <w:sz w:val="28"/>
        <w:szCs w:val="28"/>
      </w:rPr>
    </w:pPr>
    <w:r w:rsidDel="00000000" w:rsidR="00000000" w:rsidRPr="00000000">
      <w:rPr>
        <w:rFonts w:ascii="Calibri" w:cs="Calibri" w:eastAsia="Calibri" w:hAnsi="Calibri"/>
        <w:b w:val="1"/>
        <w:color w:val="2481e9"/>
        <w:sz w:val="28"/>
        <w:szCs w:val="28"/>
        <w:rtl w:val="0"/>
      </w:rPr>
      <w:t xml:space="preserve">Mateřská škola, Praha 5 – Smíchov, Kroupova 2775, příspěvková organizace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-736599</wp:posOffset>
              </wp:positionH>
              <wp:positionV relativeFrom="paragraph">
                <wp:posOffset>571500</wp:posOffset>
              </wp:positionV>
              <wp:extent cx="7261225" cy="58420"/>
              <wp:effectExtent b="0" l="0" r="0" t="0"/>
              <wp:wrapNone/>
              <wp:docPr id="8" name=""/>
              <a:graphic>
                <a:graphicData uri="http://schemas.microsoft.com/office/word/2010/wordprocessingShape">
                  <wps:wsp>
                    <wps:cNvSpPr/>
                    <wps:cNvPr id="3" name="Shape 3"/>
                    <wps:spPr>
                      <a:xfrm>
                        <a:off x="1726500" y="3761903"/>
                        <a:ext cx="7239000" cy="36195"/>
                      </a:xfrm>
                      <a:prstGeom prst="rect">
                        <a:avLst/>
                      </a:prstGeom>
                      <a:gradFill>
                        <a:gsLst>
                          <a:gs pos="0">
                            <a:srgbClr val="2481E9"/>
                          </a:gs>
                          <a:gs pos="100000">
                            <a:srgbClr val="9B6BAD"/>
                          </a:gs>
                        </a:gsLst>
                        <a:lin ang="2700000" scaled="0"/>
                      </a:gradFill>
                      <a:ln cap="flat" cmpd="sng" w="9525">
                        <a:solidFill>
                          <a:srgbClr val="F4F8F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-736599</wp:posOffset>
              </wp:positionH>
              <wp:positionV relativeFrom="paragraph">
                <wp:posOffset>571500</wp:posOffset>
              </wp:positionV>
              <wp:extent cx="7261225" cy="58420"/>
              <wp:effectExtent b="0" l="0" r="0" t="0"/>
              <wp:wrapNone/>
              <wp:docPr id="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261225" cy="5842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-654684</wp:posOffset>
          </wp:positionH>
          <wp:positionV relativeFrom="paragraph">
            <wp:posOffset>-273049</wp:posOffset>
          </wp:positionV>
          <wp:extent cx="821055" cy="808990"/>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21055" cy="808990"/>
                  </a:xfrm>
                  <a:prstGeom prst="rect"/>
                  <a:ln/>
                </pic:spPr>
              </pic:pic>
            </a:graphicData>
          </a:graphic>
        </wp:anchor>
      </w:drawing>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1" w:hanging="3"/>
      <w:rPr>
        <w:rFonts w:ascii="Calibri" w:cs="Calibri" w:eastAsia="Calibri" w:hAnsi="Calibri"/>
        <w:color w:val="4c6709"/>
        <w:sz w:val="6"/>
        <w:szCs w:val="6"/>
      </w:rPr>
    </w:pPr>
    <w:r w:rsidDel="00000000" w:rsidR="00000000" w:rsidRPr="00000000">
      <w:rPr>
        <w:rFonts w:ascii="Calibri" w:cs="Calibri" w:eastAsia="Calibri" w:hAnsi="Calibri"/>
        <w:b w:val="1"/>
        <w:color w:val="4c6709"/>
        <w:sz w:val="28"/>
        <w:szCs w:val="28"/>
        <w:rtl w:val="0"/>
      </w:rPr>
      <w:br w:type="textWrapp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CZ"/>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1416" w:firstLine="707.9999999999998"/>
    </w:pPr>
    <w:rPr>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pPr>
    <w:rPr>
      <w:b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pPr>
      <w:suppressAutoHyphens w:val="1"/>
      <w:overflowPunct w:val="0"/>
      <w:autoSpaceDE w:val="0"/>
      <w:autoSpaceDN w:val="0"/>
      <w:adjustRightInd w:val="0"/>
      <w:spacing w:line="1" w:lineRule="atLeast"/>
      <w:ind w:left="-1" w:leftChars="-1" w:hanging="1" w:hangingChars="1"/>
      <w:textDirection w:val="btLr"/>
      <w:textAlignment w:val="top"/>
      <w:outlineLvl w:val="0"/>
    </w:pPr>
    <w:rPr>
      <w:rFonts w:ascii="Times New Roman" w:eastAsia="Times New Roman" w:hAnsi="Times New Roman"/>
      <w:position w:val="-1"/>
      <w:sz w:val="24"/>
    </w:rPr>
  </w:style>
  <w:style w:type="paragraph" w:styleId="Nadpis1">
    <w:name w:val="heading 1"/>
    <w:basedOn w:val="Normln"/>
    <w:next w:val="Normln"/>
    <w:pPr>
      <w:keepNext w:val="1"/>
      <w:ind w:left="1416" w:firstLine="708"/>
    </w:pPr>
    <w:rPr>
      <w:sz w:val="28"/>
    </w:rPr>
  </w:style>
  <w:style w:type="paragraph" w:styleId="Nadpis2">
    <w:name w:val="heading 2"/>
    <w:basedOn w:val="Normln"/>
    <w:next w:val="Normln"/>
    <w:pPr>
      <w:keepNext w:val="1"/>
      <w:keepLines w:val="1"/>
      <w:spacing w:after="80" w:before="360"/>
      <w:outlineLvl w:val="1"/>
    </w:pPr>
    <w:rPr>
      <w:b w:val="1"/>
      <w:sz w:val="36"/>
      <w:szCs w:val="36"/>
    </w:rPr>
  </w:style>
  <w:style w:type="paragraph" w:styleId="Nadpis3">
    <w:name w:val="heading 3"/>
    <w:basedOn w:val="Normln"/>
    <w:next w:val="Normln"/>
    <w:pPr>
      <w:keepNext w:val="1"/>
      <w:outlineLvl w:val="2"/>
    </w:pPr>
    <w:rPr>
      <w:b w:val="1"/>
    </w:rPr>
  </w:style>
  <w:style w:type="paragraph" w:styleId="Nadpis4">
    <w:name w:val="heading 4"/>
    <w:basedOn w:val="Normln"/>
    <w:next w:val="Normln"/>
    <w:pPr>
      <w:keepNext w:val="1"/>
      <w:keepLines w:val="1"/>
      <w:spacing w:after="40" w:before="240"/>
      <w:outlineLvl w:val="3"/>
    </w:pPr>
    <w:rPr>
      <w:b w:val="1"/>
      <w:szCs w:val="24"/>
    </w:rPr>
  </w:style>
  <w:style w:type="paragraph" w:styleId="Nadpis5">
    <w:name w:val="heading 5"/>
    <w:basedOn w:val="Normln"/>
    <w:next w:val="Normln"/>
    <w:pPr>
      <w:keepNext w:val="1"/>
      <w:keepLines w:val="1"/>
      <w:spacing w:after="40" w:before="220"/>
      <w:outlineLvl w:val="4"/>
    </w:pPr>
    <w:rPr>
      <w:b w:val="1"/>
      <w:sz w:val="22"/>
      <w:szCs w:val="22"/>
    </w:rPr>
  </w:style>
  <w:style w:type="paragraph" w:styleId="Nadpis6">
    <w:name w:val="heading 6"/>
    <w:basedOn w:val="Normln"/>
    <w:next w:val="Normln"/>
    <w:pPr>
      <w:keepNext w:val="1"/>
      <w:keepLines w:val="1"/>
      <w:spacing w:after="40" w:before="200"/>
      <w:outlineLvl w:val="5"/>
    </w:pPr>
    <w:rPr>
      <w:b w:val="1"/>
      <w:sz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pPr>
      <w:keepNext w:val="1"/>
      <w:keepLines w:val="1"/>
      <w:spacing w:after="120" w:before="480"/>
    </w:pPr>
    <w:rPr>
      <w:b w:val="1"/>
      <w:sz w:val="72"/>
      <w:szCs w:val="72"/>
    </w:rPr>
  </w:style>
  <w:style w:type="character" w:styleId="Nadpis1Char" w:customStyle="1">
    <w:name w:val="Nadpis 1 Char"/>
    <w:rPr>
      <w:rFonts w:ascii="Times New Roman" w:cs="Times New Roman" w:eastAsia="Times New Roman" w:hAnsi="Times New Roman"/>
      <w:w w:val="100"/>
      <w:position w:val="-1"/>
      <w:sz w:val="28"/>
      <w:szCs w:val="20"/>
      <w:effect w:val="none"/>
      <w:vertAlign w:val="baseline"/>
      <w:cs w:val="0"/>
      <w:em w:val="none"/>
      <w:lang w:eastAsia="cs-CZ"/>
    </w:rPr>
  </w:style>
  <w:style w:type="character" w:styleId="Nadpis3Char" w:customStyle="1">
    <w:name w:val="Nadpis 3 Char"/>
    <w:rPr>
      <w:rFonts w:ascii="Times New Roman" w:cs="Times New Roman" w:eastAsia="Times New Roman" w:hAnsi="Times New Roman"/>
      <w:b w:val="1"/>
      <w:w w:val="100"/>
      <w:position w:val="-1"/>
      <w:sz w:val="24"/>
      <w:szCs w:val="20"/>
      <w:effect w:val="none"/>
      <w:vertAlign w:val="baseline"/>
      <w:cs w:val="0"/>
      <w:em w:val="none"/>
      <w:lang w:eastAsia="cs-CZ"/>
    </w:rPr>
  </w:style>
  <w:style w:type="paragraph" w:styleId="Seznamsodrkami2">
    <w:name w:val="List Bullet 2"/>
    <w:basedOn w:val="Normln"/>
    <w:qFormat w:val="1"/>
    <w:pPr>
      <w:numPr>
        <w:numId w:val="1"/>
      </w:numPr>
      <w:ind w:left="-1" w:hanging="1"/>
    </w:pPr>
  </w:style>
  <w:style w:type="paragraph" w:styleId="Odstavecseseznamem">
    <w:name w:val="List Paragraph"/>
    <w:basedOn w:val="Normln"/>
    <w:pPr>
      <w:ind w:left="720"/>
      <w:contextualSpacing w:val="1"/>
    </w:pPr>
  </w:style>
  <w:style w:type="paragraph" w:styleId="Zhlav">
    <w:name w:val="header"/>
    <w:basedOn w:val="Normln"/>
    <w:qFormat w:val="1"/>
    <w:pPr>
      <w:tabs>
        <w:tab w:val="center" w:pos="4536"/>
        <w:tab w:val="right" w:pos="9072"/>
      </w:tabs>
    </w:pPr>
  </w:style>
  <w:style w:type="character" w:styleId="ZhlavChar" w:customStyle="1">
    <w:name w:val="Záhlaví Char"/>
    <w:rPr>
      <w:rFonts w:ascii="Times New Roman" w:eastAsia="Times New Roman" w:hAnsi="Times New Roman"/>
      <w:w w:val="100"/>
      <w:position w:val="-1"/>
      <w:sz w:val="24"/>
      <w:effect w:val="none"/>
      <w:vertAlign w:val="baseline"/>
      <w:cs w:val="0"/>
      <w:em w:val="none"/>
    </w:rPr>
  </w:style>
  <w:style w:type="paragraph" w:styleId="Zpat">
    <w:name w:val="footer"/>
    <w:basedOn w:val="Normln"/>
    <w:qFormat w:val="1"/>
    <w:pPr>
      <w:tabs>
        <w:tab w:val="center" w:pos="4536"/>
        <w:tab w:val="right" w:pos="9072"/>
      </w:tabs>
    </w:pPr>
  </w:style>
  <w:style w:type="character" w:styleId="ZpatChar" w:customStyle="1">
    <w:name w:val="Zápatí Char"/>
    <w:rPr>
      <w:rFonts w:ascii="Times New Roman" w:eastAsia="Times New Roman" w:hAnsi="Times New Roman"/>
      <w:w w:val="100"/>
      <w:position w:val="-1"/>
      <w:sz w:val="24"/>
      <w:effect w:val="none"/>
      <w:vertAlign w:val="baseline"/>
      <w:cs w:val="0"/>
      <w:em w:val="none"/>
    </w:rPr>
  </w:style>
  <w:style w:type="character" w:styleId="Hypertextovodkaz">
    <w:name w:val="Hyperlink"/>
    <w:qFormat w:val="1"/>
    <w:rPr>
      <w:color w:val="0563c1"/>
      <w:w w:val="100"/>
      <w:position w:val="-1"/>
      <w:u w:val="single"/>
      <w:effect w:val="none"/>
      <w:vertAlign w:val="baseline"/>
      <w:cs w:val="0"/>
      <w:em w:val="none"/>
    </w:rPr>
  </w:style>
  <w:style w:type="paragraph" w:styleId="Textbubliny">
    <w:name w:val="Balloon Text"/>
    <w:basedOn w:val="Normln"/>
    <w:qFormat w:val="1"/>
    <w:rPr>
      <w:rFonts w:ascii="Segoe UI" w:cs="Segoe UI" w:hAnsi="Segoe UI"/>
      <w:sz w:val="18"/>
      <w:szCs w:val="18"/>
    </w:rPr>
  </w:style>
  <w:style w:type="character" w:styleId="TextbublinyChar" w:customStyle="1">
    <w:name w:val="Text bubliny Char"/>
    <w:rPr>
      <w:rFonts w:ascii="Segoe UI" w:cs="Segoe UI" w:eastAsia="Times New Roman" w:hAnsi="Segoe UI"/>
      <w:w w:val="100"/>
      <w:position w:val="-1"/>
      <w:sz w:val="18"/>
      <w:szCs w:val="18"/>
      <w:effect w:val="none"/>
      <w:vertAlign w:val="baseline"/>
      <w:cs w:val="0"/>
      <w:em w:val="none"/>
    </w:rPr>
  </w:style>
  <w:style w:type="paragraph" w:styleId="Podnadpis">
    <w:name w:val="Subtitle"/>
    <w:basedOn w:val="Normln"/>
    <w:next w:val="Normln"/>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LpNeqZRX1l4wfiDASdxiXDTnZA==">CgMxLjA4AHIhMS01c05zRDFMdEZzMEtsazEzTzNoN0F2T2tuYjhfdlE3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2025-05-01T19:08:00Z</dcterms:created>
  <dc:creator>hp</dc:creator>
</cp:coreProperties>
</file>